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23" w:rsidRPr="00A57523" w:rsidRDefault="00A57523">
      <w:pPr>
        <w:pStyle w:val="ConsPlusTitle"/>
        <w:jc w:val="center"/>
        <w:rPr>
          <w:color w:val="000000" w:themeColor="text1"/>
          <w:sz w:val="40"/>
          <w:szCs w:val="40"/>
        </w:rPr>
      </w:pPr>
      <w:r w:rsidRPr="00A57523">
        <w:rPr>
          <w:color w:val="000000" w:themeColor="text1"/>
          <w:sz w:val="40"/>
          <w:szCs w:val="40"/>
        </w:rPr>
        <w:t>АКТУАЛЬНЫЕ ВОПРОСЫ ОПРЕДЕЛЕНИЯ ПЕРИОДА</w:t>
      </w:r>
    </w:p>
    <w:p w:rsidR="00A57523" w:rsidRPr="00A57523" w:rsidRDefault="00A57523">
      <w:pPr>
        <w:pStyle w:val="ConsPlusTitle"/>
        <w:jc w:val="center"/>
        <w:rPr>
          <w:color w:val="000000" w:themeColor="text1"/>
          <w:sz w:val="40"/>
          <w:szCs w:val="40"/>
        </w:rPr>
      </w:pPr>
      <w:r w:rsidRPr="00A57523">
        <w:rPr>
          <w:color w:val="000000" w:themeColor="text1"/>
          <w:sz w:val="40"/>
          <w:szCs w:val="40"/>
        </w:rPr>
        <w:t>НАЧИСЛЕНИЯ АМОРТИЗАЦИИ ПРИ ПЕРЕХОДЕ К ПРИМЕНЕНИЮ</w:t>
      </w:r>
    </w:p>
    <w:p w:rsidR="00A57523" w:rsidRPr="00A57523" w:rsidRDefault="00A57523">
      <w:pPr>
        <w:pStyle w:val="ConsPlusTitle"/>
        <w:jc w:val="center"/>
        <w:rPr>
          <w:color w:val="000000" w:themeColor="text1"/>
          <w:sz w:val="40"/>
          <w:szCs w:val="40"/>
        </w:rPr>
      </w:pPr>
      <w:r w:rsidRPr="00A57523">
        <w:rPr>
          <w:color w:val="000000" w:themeColor="text1"/>
          <w:sz w:val="40"/>
          <w:szCs w:val="40"/>
        </w:rPr>
        <w:t>НОРМ ПОСТАНОВЛЕНИЯ МИНИСТЕРСТВА ЭКОНОМИКИ</w:t>
      </w:r>
    </w:p>
    <w:p w:rsidR="00A57523" w:rsidRPr="00A57523" w:rsidRDefault="00A57523">
      <w:pPr>
        <w:pStyle w:val="ConsPlusTitle"/>
        <w:jc w:val="center"/>
        <w:rPr>
          <w:color w:val="000000" w:themeColor="text1"/>
          <w:sz w:val="40"/>
          <w:szCs w:val="40"/>
        </w:rPr>
      </w:pPr>
      <w:r w:rsidRPr="00A57523">
        <w:rPr>
          <w:color w:val="000000" w:themeColor="text1"/>
          <w:sz w:val="40"/>
          <w:szCs w:val="40"/>
        </w:rPr>
        <w:t>РЕСПУБЛИКИ БЕЛАРУСЬ ОТ 10.04.2017 N 9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jc w:val="right"/>
        <w:rPr>
          <w:color w:val="000000" w:themeColor="text1"/>
        </w:rPr>
      </w:pPr>
      <w:r w:rsidRPr="00A57523">
        <w:rPr>
          <w:color w:val="000000" w:themeColor="text1"/>
        </w:rPr>
        <w:t>И.Д.ТОЛКУН,</w:t>
      </w:r>
    </w:p>
    <w:p w:rsidR="00A57523" w:rsidRPr="00A57523" w:rsidRDefault="00A57523">
      <w:pPr>
        <w:pStyle w:val="ConsPlusNormal"/>
        <w:jc w:val="right"/>
        <w:rPr>
          <w:color w:val="000000" w:themeColor="text1"/>
        </w:rPr>
      </w:pPr>
      <w:r w:rsidRPr="00A57523">
        <w:rPr>
          <w:color w:val="000000" w:themeColor="text1"/>
        </w:rPr>
        <w:t>экономист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В связи с вступлением в силу с 1 мая 2017 г. </w:t>
      </w:r>
      <w:hyperlink r:id="rId4" w:history="1">
        <w:r w:rsidRPr="00A57523">
          <w:rPr>
            <w:color w:val="000000" w:themeColor="text1"/>
          </w:rPr>
          <w:t>постановления</w:t>
        </w:r>
      </w:hyperlink>
      <w:r w:rsidRPr="00A57523">
        <w:rPr>
          <w:color w:val="000000" w:themeColor="text1"/>
        </w:rPr>
        <w:t xml:space="preserve"> Министерства экономики Республики Беларусь от 10.04.2017 N 9 "О внесении изменений и дополнений в постановление Министерства экономики Республики Беларусь от 30 сентября 2011 г. N 161" (далее - Постановление N 9), которым внесены изменения и дополнения в </w:t>
      </w:r>
      <w:hyperlink r:id="rId5" w:history="1">
        <w:r w:rsidRPr="00A57523">
          <w:rPr>
            <w:color w:val="000000" w:themeColor="text1"/>
          </w:rPr>
          <w:t>постановление</w:t>
        </w:r>
      </w:hyperlink>
      <w:r w:rsidRPr="00A57523">
        <w:rPr>
          <w:color w:val="000000" w:themeColor="text1"/>
        </w:rPr>
        <w:t xml:space="preserve"> Министерства экономики Республики Беларусь от 30.09.2011 N 161 "Об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Беларусь" (далее - Постановление N 161), устанавливающего нормативные сроки службы основных средств для целей начисления амортизации, возникают отдельные вопросы, связанные с переходом к применению внесенных изменений.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>В частности, при пересмотре с 1 января 2018 г. нормативных сроков службы, которые являются базой для расчета сроков полезного использования, могут возникнуть следующие ситуации: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>- ранее установленный срок полезного использования находится в рамках нового диапазона, определенного исходя из нормативного срока службы с учетом пересмотра;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>- ранее установленный срок полезного использования выходит за рамки нового диапазона, определенного исходя из нормативного срока службы с учетом пересмотра;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>- срок фактической эксплуатации объекта ОС на момент пересмотра нормативного срока службы превышает верхнюю границу нового диапазона срока полезного использования.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Возникшие вопросы можно рассмотреть на примерах, учитывая нормы </w:t>
      </w:r>
      <w:hyperlink r:id="rId6" w:history="1">
        <w:r w:rsidRPr="00A57523">
          <w:rPr>
            <w:color w:val="000000" w:themeColor="text1"/>
          </w:rPr>
          <w:t>Инструкции</w:t>
        </w:r>
      </w:hyperlink>
      <w:r w:rsidRPr="00A57523">
        <w:rPr>
          <w:color w:val="000000" w:themeColor="text1"/>
        </w:rPr>
        <w:t xml:space="preserve">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27.02.2009 N 37/18/6 (далее - Инструкция N 37/18/6).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ind w:firstLine="540"/>
        <w:jc w:val="both"/>
        <w:rPr>
          <w:color w:val="000000" w:themeColor="text1"/>
        </w:rPr>
      </w:pPr>
      <w:r w:rsidRPr="00A57523">
        <w:rPr>
          <w:i/>
          <w:color w:val="000000" w:themeColor="text1"/>
        </w:rPr>
        <w:t xml:space="preserve">Пример 1. У организации на учете числятся фотоаппараты (шифр </w:t>
      </w:r>
      <w:hyperlink r:id="rId7" w:history="1">
        <w:r w:rsidRPr="00A57523">
          <w:rPr>
            <w:i/>
            <w:color w:val="000000" w:themeColor="text1"/>
          </w:rPr>
          <w:t>70106</w:t>
        </w:r>
      </w:hyperlink>
      <w:r w:rsidRPr="00A57523">
        <w:rPr>
          <w:i/>
          <w:color w:val="000000" w:themeColor="text1"/>
        </w:rPr>
        <w:t xml:space="preserve">), нормативный срок службы до 01.05.2017 составлял 10 лет, а с учетом внесенных </w:t>
      </w:r>
      <w:hyperlink r:id="rId8" w:history="1">
        <w:r w:rsidRPr="00A57523">
          <w:rPr>
            <w:i/>
            <w:color w:val="000000" w:themeColor="text1"/>
          </w:rPr>
          <w:t>Постановлением</w:t>
        </w:r>
      </w:hyperlink>
      <w:r w:rsidRPr="00A57523">
        <w:rPr>
          <w:i/>
          <w:color w:val="000000" w:themeColor="text1"/>
        </w:rPr>
        <w:t xml:space="preserve"> N 9 изменений снижен до 7 лет. Срок полезного использования был установлен равным 5 годам (по нижней границе диапазона). Возможно ли сохранить ранее установленный срок полезного использования с 1 января 2018 г.?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i/>
          <w:color w:val="000000" w:themeColor="text1"/>
        </w:rPr>
        <w:t>Ранее установленный срок полезного использования находится в пределах нового диапазона, и его дальнейшее применение правомерно.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В соответствии с </w:t>
      </w:r>
      <w:hyperlink r:id="rId9" w:history="1">
        <w:r w:rsidRPr="00A57523">
          <w:rPr>
            <w:color w:val="000000" w:themeColor="text1"/>
          </w:rPr>
          <w:t>пунктами 19</w:t>
        </w:r>
      </w:hyperlink>
      <w:r w:rsidRPr="00A57523">
        <w:rPr>
          <w:color w:val="000000" w:themeColor="text1"/>
        </w:rPr>
        <w:t xml:space="preserve"> и </w:t>
      </w:r>
      <w:hyperlink r:id="rId10" w:history="1">
        <w:r w:rsidRPr="00A57523">
          <w:rPr>
            <w:color w:val="000000" w:themeColor="text1"/>
          </w:rPr>
          <w:t>21</w:t>
        </w:r>
      </w:hyperlink>
      <w:r w:rsidRPr="00A57523">
        <w:rPr>
          <w:color w:val="000000" w:themeColor="text1"/>
        </w:rPr>
        <w:t xml:space="preserve"> Инструкции N 37/18/6 срок полезного использования устанавливается в годах (соответствующем им количестве месяцев) в пределах между нижней и верхней границами диапазонов (с точностью до двух знаков после запятой) по группам амортизируемых объектов основных средств и нематериальных активов самостоятельно комиссией по проведению амортизационной политики согласно </w:t>
      </w:r>
      <w:hyperlink r:id="rId11" w:history="1">
        <w:r w:rsidRPr="00A57523">
          <w:rPr>
            <w:color w:val="000000" w:themeColor="text1"/>
          </w:rPr>
          <w:t>приложению 3</w:t>
        </w:r>
      </w:hyperlink>
      <w:r w:rsidRPr="00A57523">
        <w:rPr>
          <w:color w:val="000000" w:themeColor="text1"/>
        </w:rPr>
        <w:t xml:space="preserve"> к Инструкции N 37/18/6.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Нормативный срок службы фотоаппаратов с учетом норм </w:t>
      </w:r>
      <w:hyperlink r:id="rId12" w:history="1">
        <w:r w:rsidRPr="00A57523">
          <w:rPr>
            <w:color w:val="000000" w:themeColor="text1"/>
          </w:rPr>
          <w:t>Постановления</w:t>
        </w:r>
      </w:hyperlink>
      <w:r w:rsidRPr="00A57523">
        <w:rPr>
          <w:color w:val="000000" w:themeColor="text1"/>
        </w:rPr>
        <w:t xml:space="preserve"> N 9 составляет 7 лет. </w:t>
      </w:r>
      <w:r w:rsidRPr="00A57523">
        <w:rPr>
          <w:color w:val="000000" w:themeColor="text1"/>
        </w:rPr>
        <w:lastRenderedPageBreak/>
        <w:t>Соответственно диапазон срока полезного использования составляет от 3,5 до 10,5 лет (от 7 x 0,5 до 7 x 1,5). Ранее установленный срок полезного использования - 5 лет - находится в пределах нового диапазона. Соответственно по решению комиссии организация вправе не пересматривать применяемый срок полезного использования 5 лет и продолжить его применение далее.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ind w:firstLine="540"/>
        <w:jc w:val="both"/>
        <w:rPr>
          <w:color w:val="000000" w:themeColor="text1"/>
        </w:rPr>
      </w:pPr>
      <w:r w:rsidRPr="00A57523">
        <w:rPr>
          <w:i/>
          <w:color w:val="000000" w:themeColor="text1"/>
        </w:rPr>
        <w:t xml:space="preserve">Пример 2. У организации, занимающейся обслуживанием специальной техники, на учете числятся краскопульты и пистолеты-распылители (шифр </w:t>
      </w:r>
      <w:hyperlink r:id="rId13" w:history="1">
        <w:r w:rsidRPr="00A57523">
          <w:rPr>
            <w:i/>
            <w:color w:val="000000" w:themeColor="text1"/>
          </w:rPr>
          <w:t>60001</w:t>
        </w:r>
      </w:hyperlink>
      <w:r w:rsidRPr="00A57523">
        <w:rPr>
          <w:i/>
          <w:color w:val="000000" w:themeColor="text1"/>
        </w:rPr>
        <w:t xml:space="preserve">), нормативный срок службы до 01.05.2017 составлял 2 года, а с учетом внесенных </w:t>
      </w:r>
      <w:hyperlink r:id="rId14" w:history="1">
        <w:r w:rsidRPr="00A57523">
          <w:rPr>
            <w:i/>
            <w:color w:val="000000" w:themeColor="text1"/>
          </w:rPr>
          <w:t>Постановлением</w:t>
        </w:r>
      </w:hyperlink>
      <w:r w:rsidRPr="00A57523">
        <w:rPr>
          <w:i/>
          <w:color w:val="000000" w:themeColor="text1"/>
        </w:rPr>
        <w:t xml:space="preserve"> N 9 изменений увеличен до 5 лет. Срок полезного использования ранее был установлен равным нормативному, т.е. 2 года.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i/>
          <w:color w:val="000000" w:themeColor="text1"/>
        </w:rPr>
        <w:t>Следует ли пересмотреть срок полезного использования с 1 января 2018 г.?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0" w:name="_GoBack"/>
      <w:r w:rsidRPr="00A57523">
        <w:rPr>
          <w:i/>
          <w:color w:val="000000" w:themeColor="text1"/>
        </w:rPr>
        <w:t>Ранее установленный срок полезного использования выходит за пределы нового диапазона, и его необходимо пересмотреть.</w:t>
      </w:r>
    </w:p>
    <w:bookmarkEnd w:id="0"/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С целью соблюдения норм </w:t>
      </w:r>
      <w:hyperlink r:id="rId15" w:history="1">
        <w:r w:rsidRPr="00A57523">
          <w:rPr>
            <w:color w:val="000000" w:themeColor="text1"/>
          </w:rPr>
          <w:t>пунктов 19</w:t>
        </w:r>
      </w:hyperlink>
      <w:r w:rsidRPr="00A57523">
        <w:rPr>
          <w:color w:val="000000" w:themeColor="text1"/>
        </w:rPr>
        <w:t xml:space="preserve"> и </w:t>
      </w:r>
      <w:hyperlink r:id="rId16" w:history="1">
        <w:r w:rsidRPr="00A57523">
          <w:rPr>
            <w:color w:val="000000" w:themeColor="text1"/>
          </w:rPr>
          <w:t>21</w:t>
        </w:r>
      </w:hyperlink>
      <w:r w:rsidRPr="00A57523">
        <w:rPr>
          <w:color w:val="000000" w:themeColor="text1"/>
        </w:rPr>
        <w:t xml:space="preserve"> Инструкции N 37/18/6 срок полезного использования должен быть установлен в пределах между нижней и верхней границами диапазонов по группам амортизируемых объектов основных средств и нематериальных активов согласно </w:t>
      </w:r>
      <w:hyperlink r:id="rId17" w:history="1">
        <w:r w:rsidRPr="00A57523">
          <w:rPr>
            <w:color w:val="000000" w:themeColor="text1"/>
          </w:rPr>
          <w:t>приложению 3</w:t>
        </w:r>
      </w:hyperlink>
      <w:r w:rsidRPr="00A57523">
        <w:rPr>
          <w:color w:val="000000" w:themeColor="text1"/>
        </w:rPr>
        <w:t xml:space="preserve"> к Инструкции N 37/18/6. Для машин и оборудования данный диапазон составляет от 0,5 до 1,5 от нормативного срока службы.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>В случае если в отношении краскопультов и пистолетов-распылителей нормативный срок службы увеличен до 5 лет, новый диапазон срока полезного использования составит от 2,5 до 7,5 лет. Ранее установленный организацией срок полезного использования (2 года) выходит за рамки указанного диапазона, и его дальнейшее применение неправомерно.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ind w:firstLine="540"/>
        <w:jc w:val="both"/>
        <w:rPr>
          <w:color w:val="000000" w:themeColor="text1"/>
        </w:rPr>
      </w:pPr>
      <w:r w:rsidRPr="00A57523">
        <w:rPr>
          <w:i/>
          <w:color w:val="000000" w:themeColor="text1"/>
        </w:rPr>
        <w:t xml:space="preserve">Пример 3. У организации учитываются установки окрасочные и моечные (шифр </w:t>
      </w:r>
      <w:hyperlink r:id="rId18" w:history="1">
        <w:r w:rsidRPr="00A57523">
          <w:rPr>
            <w:i/>
            <w:color w:val="000000" w:themeColor="text1"/>
          </w:rPr>
          <w:t>46123</w:t>
        </w:r>
      </w:hyperlink>
      <w:r w:rsidRPr="00A57523">
        <w:rPr>
          <w:i/>
          <w:color w:val="000000" w:themeColor="text1"/>
        </w:rPr>
        <w:t xml:space="preserve">), нормативный срок службы до 01.05.2017 составлял 7 лет. Срок полезного использования был установлен равным 10 годам. Срок фактической эксплуатации на момент пересмотра срока согласно </w:t>
      </w:r>
      <w:hyperlink r:id="rId19" w:history="1">
        <w:r w:rsidRPr="00A57523">
          <w:rPr>
            <w:i/>
            <w:color w:val="000000" w:themeColor="text1"/>
          </w:rPr>
          <w:t>Постановлению</w:t>
        </w:r>
      </w:hyperlink>
      <w:r w:rsidRPr="00A57523">
        <w:rPr>
          <w:i/>
          <w:color w:val="000000" w:themeColor="text1"/>
        </w:rPr>
        <w:t xml:space="preserve"> N 9 составляет 9 лет. Новый нормативный срок службы составляет 5 лет, следовательно, диапазон срока полезного использования - от 2,5 до 7,5 лет. Срок фактической эксплуатации на момент пересмотра превышает верхнюю границу нового диапазона срока полезного использования. Как определить остаточный срок полезного использования для завершения амортизации объектов?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i/>
          <w:color w:val="000000" w:themeColor="text1"/>
        </w:rPr>
        <w:t>Срок фактической эксплуатации объекта превышает вновь установленную верхнюю границу диапазона срока полезного использования. Остаточный срок полезного использования определяется комиссией самостоятельно на период не менее 1 года.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В соответствии с </w:t>
      </w:r>
      <w:hyperlink r:id="rId20" w:history="1">
        <w:r w:rsidRPr="00A57523">
          <w:rPr>
            <w:color w:val="000000" w:themeColor="text1"/>
          </w:rPr>
          <w:t>Постановлением</w:t>
        </w:r>
      </w:hyperlink>
      <w:r w:rsidRPr="00A57523">
        <w:rPr>
          <w:color w:val="000000" w:themeColor="text1"/>
        </w:rPr>
        <w:t xml:space="preserve"> N 9 нормативный срок службы установок окрасочных и моечных снижен с 7 до 5 лет. Срок фактичекской эксплуатации на момент пересмотра (9 лет) превышает верхнюю границу нового диапазона срока полезного использования (от 2,5 до 7,5 лет).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В данном случае, даже установив (при его пересмотре) срок полезного использования по верхней границе диапазона (7,5 лет), невозможно произвести расчет остаточного срока полезного использования, как это предусмотрено </w:t>
      </w:r>
      <w:hyperlink r:id="rId21" w:history="1">
        <w:r w:rsidRPr="00A57523">
          <w:rPr>
            <w:color w:val="000000" w:themeColor="text1"/>
          </w:rPr>
          <w:t>пунктом 67</w:t>
        </w:r>
      </w:hyperlink>
      <w:r w:rsidRPr="00A57523">
        <w:rPr>
          <w:color w:val="000000" w:themeColor="text1"/>
        </w:rPr>
        <w:t xml:space="preserve"> Инструкции N 37/18/6, а именно как разницы между сроком полезного использования, действующим на дату изменения порядка начисления амортизации (7,5 лет), и сроком фактической эксплуатации данного объекта на дату изменения порядка начисления амортизации (9 лет).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Указанный случай не оговаривается нормами </w:t>
      </w:r>
      <w:hyperlink r:id="rId22" w:history="1">
        <w:r w:rsidRPr="00A57523">
          <w:rPr>
            <w:color w:val="000000" w:themeColor="text1"/>
          </w:rPr>
          <w:t>Инструкции</w:t>
        </w:r>
      </w:hyperlink>
      <w:r w:rsidRPr="00A57523">
        <w:rPr>
          <w:color w:val="000000" w:themeColor="text1"/>
        </w:rPr>
        <w:t xml:space="preserve"> N 37/18/6.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>В данном случае, по мнению автора, комиссия организации может воспользоваться общими подходами по установлению срока полезного использования (</w:t>
      </w:r>
      <w:hyperlink r:id="rId23" w:history="1">
        <w:r w:rsidRPr="00A57523">
          <w:rPr>
            <w:color w:val="000000" w:themeColor="text1"/>
          </w:rPr>
          <w:t>пункты 18</w:t>
        </w:r>
      </w:hyperlink>
      <w:r w:rsidRPr="00A57523">
        <w:rPr>
          <w:color w:val="000000" w:themeColor="text1"/>
        </w:rPr>
        <w:t xml:space="preserve">, </w:t>
      </w:r>
      <w:hyperlink r:id="rId24" w:history="1">
        <w:r w:rsidRPr="00A57523">
          <w:rPr>
            <w:color w:val="000000" w:themeColor="text1"/>
          </w:rPr>
          <w:t>19</w:t>
        </w:r>
      </w:hyperlink>
      <w:r w:rsidRPr="00A57523">
        <w:rPr>
          <w:color w:val="000000" w:themeColor="text1"/>
        </w:rPr>
        <w:t xml:space="preserve"> Инструкции N 37/18/6).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 xml:space="preserve">В частности, в отношении нормативного срока службы </w:t>
      </w:r>
      <w:hyperlink r:id="rId25" w:history="1">
        <w:r w:rsidRPr="00A57523">
          <w:rPr>
            <w:color w:val="000000" w:themeColor="text1"/>
          </w:rPr>
          <w:t>пунктом 18</w:t>
        </w:r>
      </w:hyperlink>
      <w:r w:rsidRPr="00A57523">
        <w:rPr>
          <w:color w:val="000000" w:themeColor="text1"/>
        </w:rPr>
        <w:t xml:space="preserve"> Инструкции N 37/18/6 предусмотрено, что если срок фактического использования объекта на дату приобретения, перехода к использованию нормативных сроков службы, установленных </w:t>
      </w:r>
      <w:hyperlink r:id="rId26" w:history="1">
        <w:r w:rsidRPr="00A57523">
          <w:rPr>
            <w:color w:val="000000" w:themeColor="text1"/>
          </w:rPr>
          <w:t>Постановлением</w:t>
        </w:r>
      </w:hyperlink>
      <w:r w:rsidRPr="00A57523">
        <w:rPr>
          <w:color w:val="000000" w:themeColor="text1"/>
        </w:rPr>
        <w:t xml:space="preserve"> N 161, окажется равным или более соответствующего значения, </w:t>
      </w:r>
      <w:r w:rsidRPr="00A57523">
        <w:rPr>
          <w:color w:val="000000" w:themeColor="text1"/>
        </w:rPr>
        <w:lastRenderedPageBreak/>
        <w:t>приведенного в классификации амортизируемых основных средств, определить нормативный срок службы самостоятельно с учетом технического состояния объекта, требований техники безопасности и других факторов на срок не менее 1 года.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7" w:history="1">
        <w:r w:rsidRPr="00A57523">
          <w:rPr>
            <w:color w:val="000000" w:themeColor="text1"/>
          </w:rPr>
          <w:t>Пунктом 19</w:t>
        </w:r>
      </w:hyperlink>
      <w:r w:rsidRPr="00A57523">
        <w:rPr>
          <w:color w:val="000000" w:themeColor="text1"/>
        </w:rPr>
        <w:t xml:space="preserve"> Инструкции N 37/18/6 решение об установлении срока полезного использования делегируется комиссии организации, которая при принятии такого решения учитывает ожидаемый физический износ, моральный износ, ограничения в использовании объекта (в том числе срок лизинга, иного возмездного и безвозмездного пользования), потребности воспроизводства, утвержденных бизнес-планов, планов технологического обновления и реструктуризации производства, сложившейся конкурентоспособности товаров, продукции, работ, услуг.</w:t>
      </w:r>
    </w:p>
    <w:p w:rsidR="00A57523" w:rsidRPr="00A57523" w:rsidRDefault="00A575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A57523">
        <w:rPr>
          <w:color w:val="000000" w:themeColor="text1"/>
        </w:rPr>
        <w:t>Таким образом, по мнению автора, комиссия в данном случае вправе самостоятельно принять решение об установлении срока полезного использования с учетом технического состояния объекта, требований техники безопасности и других указанных факторов на срок не менее 1 года.</w:t>
      </w: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jc w:val="both"/>
        <w:rPr>
          <w:color w:val="000000" w:themeColor="text1"/>
        </w:rPr>
      </w:pPr>
    </w:p>
    <w:p w:rsidR="00A57523" w:rsidRPr="00A57523" w:rsidRDefault="00A5752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D1110E" w:rsidRPr="00A57523" w:rsidRDefault="00D1110E">
      <w:pPr>
        <w:rPr>
          <w:color w:val="000000" w:themeColor="text1"/>
          <w:lang w:val="ru-RU"/>
        </w:rPr>
      </w:pPr>
    </w:p>
    <w:sectPr w:rsidR="00D1110E" w:rsidRPr="00A57523" w:rsidSect="00A575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23"/>
    <w:rsid w:val="006E36BF"/>
    <w:rsid w:val="00A57523"/>
    <w:rsid w:val="00D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4DFDA-D986-4FC8-BAE0-9FBFFE9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sPlusNormal">
    <w:name w:val="ConsPlusNormal"/>
    <w:rsid w:val="00A57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A57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A57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8015C6A88619AADD9D8DC0655EE0BC996D207BE6D139BF3DAC05C354B6D8DA1D5G7o3F" TargetMode="External"/><Relationship Id="rId13" Type="http://schemas.openxmlformats.org/officeDocument/2006/relationships/hyperlink" Target="consultantplus://offline/ref=15A8015C6A88619AADD9D8DC0655EE0BC996D207BE6D139CF3D9C25C354B6D8DA1D57354B652005795BB8CD86BGEoDF" TargetMode="External"/><Relationship Id="rId18" Type="http://schemas.openxmlformats.org/officeDocument/2006/relationships/hyperlink" Target="consultantplus://offline/ref=15A8015C6A88619AADD9D8DC0655EE0BC996D207BE6D139CF3D9C25C354B6D8DA1D57354B652005795BB8CDA6FGEo9F" TargetMode="External"/><Relationship Id="rId26" Type="http://schemas.openxmlformats.org/officeDocument/2006/relationships/hyperlink" Target="consultantplus://offline/ref=15A8015C6A88619AADD9D8DC0655EE0BC996D207BE6D139CF3D9C25C354B6D8DA1D5G7o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A8015C6A88619AADD9D8DC0655EE0BC996D207BE6D159CFDDCC85C354B6D8DA1D57354B652005795BB88D869GEoCF" TargetMode="External"/><Relationship Id="rId7" Type="http://schemas.openxmlformats.org/officeDocument/2006/relationships/hyperlink" Target="consultantplus://offline/ref=15A8015C6A88619AADD9D8DC0655EE0BC996D207BE6D139CF3D9C25C354B6D8DA1D57354B652005795BB8CD863GEoDF" TargetMode="External"/><Relationship Id="rId12" Type="http://schemas.openxmlformats.org/officeDocument/2006/relationships/hyperlink" Target="consultantplus://offline/ref=15A8015C6A88619AADD9D8DC0655EE0BC996D207BE6D139BF3DAC05C354B6D8DA1D5G7o3F" TargetMode="External"/><Relationship Id="rId17" Type="http://schemas.openxmlformats.org/officeDocument/2006/relationships/hyperlink" Target="consultantplus://offline/ref=15A8015C6A88619AADD9D8DC0655EE0BC996D207BE6D159CFDDCC85C354B6D8DA1D57354B652005795BB89DE68GEo9F" TargetMode="External"/><Relationship Id="rId25" Type="http://schemas.openxmlformats.org/officeDocument/2006/relationships/hyperlink" Target="consultantplus://offline/ref=15A8015C6A88619AADD9D8DC0655EE0BC996D207BE6D159CFDDCC85C354B6D8DA1D57354B652005795BB89DA6AGEo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A8015C6A88619AADD9D8DC0655EE0BC996D207BE6D159CFDDCC85C354B6D8DA1D57354B652005795BB88D86FGEoBF" TargetMode="External"/><Relationship Id="rId20" Type="http://schemas.openxmlformats.org/officeDocument/2006/relationships/hyperlink" Target="consultantplus://offline/ref=15A8015C6A88619AADD9D8DC0655EE0BC996D207BE6D139BF3DAC05C354B6D8DA1D5G7o3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8015C6A88619AADD9D8DC0655EE0BC996D207BE6D159CFDDCC85C354B6D8DA1D57354B652005795BB89DB6AGEoDF" TargetMode="External"/><Relationship Id="rId11" Type="http://schemas.openxmlformats.org/officeDocument/2006/relationships/hyperlink" Target="consultantplus://offline/ref=15A8015C6A88619AADD9D8DC0655EE0BC996D207BE6D159CFDDCC85C354B6D8DA1D57354B652005795BB89DE68GEo9F" TargetMode="External"/><Relationship Id="rId24" Type="http://schemas.openxmlformats.org/officeDocument/2006/relationships/hyperlink" Target="consultantplus://offline/ref=15A8015C6A88619AADD9D8DC0655EE0BC996D207BE6D159CFDDCC85C354B6D8DA1D57354B652005795BB89DA6AGEoBF" TargetMode="External"/><Relationship Id="rId5" Type="http://schemas.openxmlformats.org/officeDocument/2006/relationships/hyperlink" Target="consultantplus://offline/ref=15A8015C6A88619AADD9D8DC0655EE0BC996D207BE6D139CF3D9C25C354B6D8DA1D5G7o3F" TargetMode="External"/><Relationship Id="rId15" Type="http://schemas.openxmlformats.org/officeDocument/2006/relationships/hyperlink" Target="consultantplus://offline/ref=15A8015C6A88619AADD9D8DC0655EE0BC996D207BE6D159CFDDCC85C354B6D8DA1D57354B652005795BB89DA6AGEoBF" TargetMode="External"/><Relationship Id="rId23" Type="http://schemas.openxmlformats.org/officeDocument/2006/relationships/hyperlink" Target="consultantplus://offline/ref=15A8015C6A88619AADD9D8DC0655EE0BC996D207BE6D159CFDDCC85C354B6D8DA1D57354B652005795BB89DA6AGEoF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5A8015C6A88619AADD9D8DC0655EE0BC996D207BE6D159CFDDCC85C354B6D8DA1D57354B652005795BB88D86FGEoBF" TargetMode="External"/><Relationship Id="rId19" Type="http://schemas.openxmlformats.org/officeDocument/2006/relationships/hyperlink" Target="consultantplus://offline/ref=15A8015C6A88619AADD9D8DC0655EE0BC996D207BE6D139BF3DAC05C354B6D8DA1D5G7o3F" TargetMode="External"/><Relationship Id="rId4" Type="http://schemas.openxmlformats.org/officeDocument/2006/relationships/hyperlink" Target="consultantplus://offline/ref=15A8015C6A88619AADD9D8DC0655EE0BC996D207BE6D139BF3DAC05C354B6D8DA1D5G7o3F" TargetMode="External"/><Relationship Id="rId9" Type="http://schemas.openxmlformats.org/officeDocument/2006/relationships/hyperlink" Target="consultantplus://offline/ref=15A8015C6A88619AADD9D8DC0655EE0BC996D207BE6D159CFDDCC85C354B6D8DA1D57354B652005795BB89DA6AGEoBF" TargetMode="External"/><Relationship Id="rId14" Type="http://schemas.openxmlformats.org/officeDocument/2006/relationships/hyperlink" Target="consultantplus://offline/ref=15A8015C6A88619AADD9D8DC0655EE0BC996D207BE6D139BF3DAC05C354B6D8DA1D5G7o3F" TargetMode="External"/><Relationship Id="rId22" Type="http://schemas.openxmlformats.org/officeDocument/2006/relationships/hyperlink" Target="consultantplus://offline/ref=15A8015C6A88619AADD9D8DC0655EE0BC996D207BE6D159CFDDCC85C354B6D8DA1D57354B652005795BB89DB6AGEoDF" TargetMode="External"/><Relationship Id="rId27" Type="http://schemas.openxmlformats.org/officeDocument/2006/relationships/hyperlink" Target="consultantplus://offline/ref=15A8015C6A88619AADD9D8DC0655EE0BC996D207BE6D159CFDDCC85C354B6D8DA1D57354B652005795BB89DA6AGEoB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Pomaleiko</dc:creator>
  <cp:keywords/>
  <dc:description/>
  <cp:lastModifiedBy>Vitali Pomaleiko</cp:lastModifiedBy>
  <cp:revision>1</cp:revision>
  <dcterms:created xsi:type="dcterms:W3CDTF">2018-01-29T05:40:00Z</dcterms:created>
  <dcterms:modified xsi:type="dcterms:W3CDTF">2018-01-29T05:42:00Z</dcterms:modified>
</cp:coreProperties>
</file>